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0E" w:rsidRPr="0089103C" w:rsidRDefault="0089103C" w:rsidP="00092A0E">
      <w:pPr>
        <w:rPr>
          <w:rFonts w:ascii="Arial" w:hAnsi="Arial" w:cs="Arial"/>
          <w:b/>
        </w:rPr>
      </w:pPr>
      <w:r w:rsidRPr="0089103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</wp:posOffset>
            </wp:positionV>
            <wp:extent cx="1254642" cy="132326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uela de Doctorado H Color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3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03C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</wp:posOffset>
            </wp:positionV>
            <wp:extent cx="3048000" cy="781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0E" w:rsidRPr="0089103C">
        <w:rPr>
          <w:rFonts w:ascii="Arial" w:hAnsi="Arial" w:cs="Arial"/>
        </w:rPr>
        <w:tab/>
      </w:r>
      <w:r w:rsidR="00092A0E" w:rsidRPr="0089103C">
        <w:rPr>
          <w:rFonts w:ascii="Arial" w:hAnsi="Arial" w:cs="Arial"/>
          <w:b/>
        </w:rPr>
        <w:tab/>
      </w: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89103C" w:rsidRPr="0089103C" w:rsidRDefault="0089103C" w:rsidP="00092A0E">
      <w:pPr>
        <w:jc w:val="center"/>
        <w:rPr>
          <w:rFonts w:ascii="Arial" w:hAnsi="Arial" w:cs="Arial"/>
          <w:b/>
        </w:rPr>
      </w:pPr>
    </w:p>
    <w:p w:rsidR="005E2B6F" w:rsidRDefault="005E2B6F" w:rsidP="0089103C">
      <w:pPr>
        <w:jc w:val="center"/>
        <w:rPr>
          <w:rFonts w:ascii="Arial" w:hAnsi="Arial" w:cs="Arial"/>
          <w:b/>
        </w:rPr>
      </w:pPr>
    </w:p>
    <w:p w:rsidR="00092A0E" w:rsidRDefault="00E95831" w:rsidP="0089103C">
      <w:pPr>
        <w:jc w:val="center"/>
        <w:rPr>
          <w:rFonts w:ascii="Arial" w:hAnsi="Arial" w:cs="Arial"/>
          <w:b/>
        </w:rPr>
      </w:pPr>
      <w:r w:rsidRPr="00E95831">
        <w:rPr>
          <w:rFonts w:ascii="Arial" w:hAnsi="Arial" w:cs="Arial"/>
          <w:b/>
          <w:caps/>
        </w:rPr>
        <w:t>Franjas horarias asignadas</w:t>
      </w:r>
      <w:r>
        <w:rPr>
          <w:rFonts w:ascii="Arial" w:hAnsi="Arial" w:cs="Arial"/>
          <w:b/>
        </w:rPr>
        <w:t xml:space="preserve"> para participar en</w:t>
      </w:r>
      <w:r w:rsidR="00092A0E" w:rsidRPr="0089103C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a jornada del PhDay Complutense</w:t>
      </w:r>
    </w:p>
    <w:p w:rsidR="00E95831" w:rsidRDefault="00E95831" w:rsidP="0089103C">
      <w:pPr>
        <w:jc w:val="center"/>
        <w:rPr>
          <w:rFonts w:ascii="Arial" w:hAnsi="Arial" w:cs="Arial"/>
        </w:rPr>
      </w:pPr>
    </w:p>
    <w:p w:rsidR="00E95831" w:rsidRDefault="00412352" w:rsidP="00E95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acto comienza a las 10.00 horas con el saludo de Decana y Escuela de Doctorado. </w:t>
      </w:r>
      <w:r w:rsidR="002F1BE5">
        <w:rPr>
          <w:rFonts w:ascii="Arial" w:hAnsi="Arial" w:cs="Arial"/>
        </w:rPr>
        <w:t xml:space="preserve">Se asignan unas franjas horarias para las presentaciones de 7 minutos de cada estudiante. </w:t>
      </w:r>
      <w:r w:rsidR="006F0975">
        <w:rPr>
          <w:rFonts w:ascii="Arial" w:hAnsi="Arial" w:cs="Arial"/>
        </w:rPr>
        <w:t xml:space="preserve">Se ruega a los estudiantes que estén </w:t>
      </w:r>
      <w:r w:rsidR="003300FC">
        <w:rPr>
          <w:rFonts w:ascii="Arial" w:hAnsi="Arial" w:cs="Arial"/>
        </w:rPr>
        <w:t>durante</w:t>
      </w:r>
      <w:r w:rsidR="006F0975">
        <w:rPr>
          <w:rFonts w:ascii="Arial" w:hAnsi="Arial" w:cs="Arial"/>
        </w:rPr>
        <w:t xml:space="preserve"> la franja horaria completa asignada. Por cuestiones logísticas necesitamos que todos los estudiantes se responsabilicen de estar disponibles dura</w:t>
      </w:r>
      <w:r w:rsidR="001E6DF2">
        <w:rPr>
          <w:rFonts w:ascii="Arial" w:hAnsi="Arial" w:cs="Arial"/>
        </w:rPr>
        <w:t xml:space="preserve">nte la franja horaria asignada. </w:t>
      </w:r>
      <w:r w:rsidR="006F0975">
        <w:rPr>
          <w:rFonts w:ascii="Arial" w:hAnsi="Arial" w:cs="Arial"/>
        </w:rPr>
        <w:t>Además, s</w:t>
      </w:r>
      <w:r w:rsidR="006F0975" w:rsidRPr="00E95831">
        <w:rPr>
          <w:rFonts w:ascii="Arial" w:hAnsi="Arial" w:cs="Arial"/>
        </w:rPr>
        <w:t>e recomienda</w:t>
      </w:r>
      <w:r w:rsidR="006F0975">
        <w:rPr>
          <w:rFonts w:ascii="Arial" w:hAnsi="Arial" w:cs="Arial"/>
        </w:rPr>
        <w:t xml:space="preserve"> a los participantes</w:t>
      </w:r>
      <w:r w:rsidR="006F0975" w:rsidRPr="00E95831">
        <w:rPr>
          <w:rFonts w:ascii="Arial" w:hAnsi="Arial" w:cs="Arial"/>
        </w:rPr>
        <w:t xml:space="preserve"> estar </w:t>
      </w:r>
      <w:r w:rsidR="006F0975">
        <w:rPr>
          <w:rFonts w:ascii="Arial" w:hAnsi="Arial" w:cs="Arial"/>
        </w:rPr>
        <w:t>presentes durante</w:t>
      </w:r>
      <w:r w:rsidR="006F0975" w:rsidRPr="00E95831">
        <w:rPr>
          <w:rFonts w:ascii="Arial" w:hAnsi="Arial" w:cs="Arial"/>
        </w:rPr>
        <w:t xml:space="preserve"> la jornada </w:t>
      </w:r>
      <w:r w:rsidR="006F0975">
        <w:rPr>
          <w:rFonts w:ascii="Arial" w:hAnsi="Arial" w:cs="Arial"/>
        </w:rPr>
        <w:t xml:space="preserve">completa </w:t>
      </w:r>
      <w:r w:rsidR="006F0975" w:rsidRPr="00E95831">
        <w:rPr>
          <w:rFonts w:ascii="Arial" w:hAnsi="Arial" w:cs="Arial"/>
        </w:rPr>
        <w:t xml:space="preserve">para poder aprender </w:t>
      </w:r>
      <w:r w:rsidR="006F0975">
        <w:rPr>
          <w:rFonts w:ascii="Arial" w:hAnsi="Arial" w:cs="Arial"/>
        </w:rPr>
        <w:t>entre todos los estudiantes de la actividad.</w:t>
      </w:r>
    </w:p>
    <w:p w:rsidR="00802A7F" w:rsidRDefault="00802A7F" w:rsidP="00E95831">
      <w:pPr>
        <w:jc w:val="both"/>
        <w:rPr>
          <w:rFonts w:ascii="Arial" w:hAnsi="Arial" w:cs="Arial"/>
        </w:rPr>
      </w:pPr>
    </w:p>
    <w:p w:rsidR="00802A7F" w:rsidRDefault="00802A7F" w:rsidP="00E95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presentaciones estarán grabadas en el ordenador ese día para lo que los estudiantes las harán llegar antes del 29 de octubre a </w:t>
      </w:r>
      <w:r>
        <w:rPr>
          <w:rFonts w:ascii="Verdana" w:hAnsi="Verdana"/>
          <w:color w:val="000000"/>
          <w:shd w:val="clear" w:color="auto" w:fill="FFFFFF"/>
        </w:rPr>
        <w:t>(</w:t>
      </w:r>
      <w:hyperlink r:id="rId8" w:tgtFrame="_blank" w:history="1">
        <w:r>
          <w:rPr>
            <w:rStyle w:val="Hipervnculo"/>
            <w:rFonts w:ascii="Verdana" w:hAnsi="Verdana"/>
            <w:color w:val="1155CC"/>
            <w:sz w:val="20"/>
            <w:szCs w:val="20"/>
          </w:rPr>
          <w:t>leticiamaria.ruiz@cps.ucm.es</w:t>
        </w:r>
      </w:hyperlink>
      <w:r>
        <w:rPr>
          <w:rFonts w:ascii="Verdana" w:hAnsi="Verdana"/>
          <w:color w:val="000000"/>
          <w:shd w:val="clear" w:color="auto" w:fill="FFFFFF"/>
        </w:rPr>
        <w:t>)</w:t>
      </w:r>
    </w:p>
    <w:p w:rsidR="002F1BE5" w:rsidRDefault="002F1BE5" w:rsidP="00E95831">
      <w:pPr>
        <w:jc w:val="both"/>
        <w:rPr>
          <w:rFonts w:ascii="Arial" w:hAnsi="Arial" w:cs="Arial"/>
        </w:rPr>
      </w:pPr>
    </w:p>
    <w:p w:rsidR="00E95831" w:rsidRDefault="00E95831" w:rsidP="00E95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 las presentaciones e</w:t>
      </w:r>
      <w:r w:rsidRPr="00E95831">
        <w:rPr>
          <w:rFonts w:ascii="Arial" w:hAnsi="Arial" w:cs="Arial"/>
        </w:rPr>
        <w:t xml:space="preserve">l Jurado </w:t>
      </w:r>
      <w:r>
        <w:rPr>
          <w:rFonts w:ascii="Arial" w:hAnsi="Arial" w:cs="Arial"/>
        </w:rPr>
        <w:t>se retirará a deliberar</w:t>
      </w:r>
      <w:r w:rsidRPr="00E95831">
        <w:rPr>
          <w:rFonts w:ascii="Arial" w:hAnsi="Arial" w:cs="Arial"/>
        </w:rPr>
        <w:t xml:space="preserve"> y anunciará la hora</w:t>
      </w:r>
      <w:r>
        <w:rPr>
          <w:rFonts w:ascii="Arial" w:hAnsi="Arial" w:cs="Arial"/>
        </w:rPr>
        <w:t xml:space="preserve"> de ese día</w:t>
      </w:r>
      <w:r w:rsidRPr="00E95831">
        <w:rPr>
          <w:rFonts w:ascii="Arial" w:hAnsi="Arial" w:cs="Arial"/>
        </w:rPr>
        <w:t xml:space="preserve"> en que hará públicos los premiados</w:t>
      </w:r>
      <w:r>
        <w:rPr>
          <w:rFonts w:ascii="Arial" w:hAnsi="Arial" w:cs="Arial"/>
        </w:rPr>
        <w:t xml:space="preserve">. </w:t>
      </w: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D16F24" w:rsidRDefault="00D16F24" w:rsidP="00E95831">
      <w:pPr>
        <w:jc w:val="both"/>
        <w:rPr>
          <w:rFonts w:ascii="Arial" w:hAnsi="Arial" w:cs="Arial"/>
        </w:rPr>
      </w:pPr>
    </w:p>
    <w:p w:rsidR="00D16F24" w:rsidRDefault="00D16F24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6F0975" w:rsidRDefault="006F0975" w:rsidP="00E95831">
      <w:pPr>
        <w:jc w:val="both"/>
        <w:rPr>
          <w:rFonts w:ascii="Arial" w:hAnsi="Arial" w:cs="Arial"/>
        </w:rPr>
      </w:pPr>
    </w:p>
    <w:p w:rsidR="00E95831" w:rsidRDefault="005E2B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Participantes</w:t>
      </w:r>
      <w:r w:rsidR="006F0975">
        <w:rPr>
          <w:rFonts w:ascii="Arial" w:hAnsi="Arial" w:cs="Arial"/>
          <w:b/>
        </w:rPr>
        <w:t xml:space="preserve"> y franjas horarias</w:t>
      </w:r>
      <w:r>
        <w:rPr>
          <w:rFonts w:ascii="Arial" w:hAnsi="Arial" w:cs="Arial"/>
          <w:b/>
        </w:rPr>
        <w:t xml:space="preserve"> </w:t>
      </w:r>
      <w:r w:rsidR="009B1C2A">
        <w:rPr>
          <w:rFonts w:ascii="Arial" w:hAnsi="Arial" w:cs="Arial"/>
          <w:b/>
        </w:rPr>
        <w:t xml:space="preserve">(a condición de que estén matriculados en </w:t>
      </w:r>
      <w:r w:rsidR="00535F52">
        <w:rPr>
          <w:rFonts w:ascii="Arial" w:hAnsi="Arial" w:cs="Arial"/>
          <w:b/>
        </w:rPr>
        <w:t>el</w:t>
      </w:r>
      <w:r w:rsidR="009B1C2A">
        <w:rPr>
          <w:rFonts w:ascii="Arial" w:hAnsi="Arial" w:cs="Arial"/>
          <w:b/>
        </w:rPr>
        <w:t xml:space="preserve"> curso </w:t>
      </w:r>
      <w:r w:rsidR="00C44859">
        <w:rPr>
          <w:rFonts w:ascii="Arial" w:hAnsi="Arial" w:cs="Arial"/>
          <w:b/>
        </w:rPr>
        <w:t>2019/202</w:t>
      </w:r>
      <w:r w:rsidR="00535F52">
        <w:rPr>
          <w:rFonts w:ascii="Arial" w:hAnsi="Arial" w:cs="Arial"/>
          <w:b/>
        </w:rPr>
        <w:t>0)</w:t>
      </w:r>
      <w:bookmarkStart w:id="0" w:name="_GoBack"/>
      <w:bookmarkEnd w:id="0"/>
    </w:p>
    <w:p w:rsidR="005A4C88" w:rsidRDefault="005A4C88">
      <w:pPr>
        <w:rPr>
          <w:rFonts w:ascii="Arial" w:hAnsi="Arial" w:cs="Arial"/>
          <w:b/>
        </w:rPr>
      </w:pPr>
    </w:p>
    <w:tbl>
      <w:tblPr>
        <w:tblStyle w:val="Tablaconcuadrcula1"/>
        <w:tblW w:w="16331" w:type="dxa"/>
        <w:tblInd w:w="-1083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  <w:gridCol w:w="3118"/>
        <w:gridCol w:w="1645"/>
        <w:gridCol w:w="1645"/>
      </w:tblGrid>
      <w:tr w:rsidR="000F2679" w:rsidRPr="00745F63" w:rsidTr="00D12AF7">
        <w:tc>
          <w:tcPr>
            <w:tcW w:w="2268" w:type="dxa"/>
            <w:vAlign w:val="bottom"/>
          </w:tcPr>
          <w:p w:rsidR="000F2679" w:rsidRPr="00745F63" w:rsidRDefault="000F2679" w:rsidP="00D12A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tesis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F63">
              <w:rPr>
                <w:rFonts w:ascii="Arial" w:hAnsi="Arial" w:cs="Arial"/>
                <w:b/>
                <w:sz w:val="22"/>
                <w:szCs w:val="22"/>
              </w:rPr>
              <w:t>Línea investigación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F63">
              <w:rPr>
                <w:rFonts w:ascii="Arial" w:hAnsi="Arial" w:cs="Arial"/>
                <w:b/>
                <w:sz w:val="22"/>
                <w:szCs w:val="22"/>
              </w:rPr>
              <w:t>Año de matrícula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F63">
              <w:rPr>
                <w:rFonts w:ascii="Arial" w:hAnsi="Arial" w:cs="Arial"/>
                <w:b/>
                <w:sz w:val="22"/>
                <w:szCs w:val="22"/>
              </w:rPr>
              <w:t>Horario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Palacios Garita, Rene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Evaluación del Desempeño Judicial: el caso de la justicia jurisdiccional en México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Política y administración comparada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10.30 a 11.30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Santana Castellanos, Natalia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Las Élites y el Desarrollo Económico del sector agropecuario en Colombia: 1990-2014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Política y administración comparada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2018-19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10.30 a 11.30</w:t>
            </w:r>
          </w:p>
        </w:tc>
      </w:tr>
      <w:tr w:rsidR="000F2679" w:rsidRPr="00745F63" w:rsidTr="00D12AF7">
        <w:trPr>
          <w:trHeight w:val="311"/>
        </w:trPr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Fernández de la Peña, Miguel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Verdad y política en la obra de Maquiavelo. Entre la autonomía y el conflicto.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2018-19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10.30 a 11.30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Niño Cubillos Javier Ignacio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La política migratoria de la Unión Europea para terceros Estados en materia de integración y retorno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2016-17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10.30 a 11.30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Martínez Pazos, Fátima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Cuando la ciudad latía: el movimiento vecinal en la Galicia urbana (1964-1982)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Historia del pensamiento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10.30 a 11.30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Roberto Partida Guerrero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La construcción del enemigo político en México (1982-2006)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11.30 a 12.30 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LERIN IBARRA, DAVID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La nueva derecha radical o derecha radical populista en España. La emergencia de Vox. Factores explicativos de su relevancia política.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2018-19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11.30 a 12.30 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RODRÍGUEZ MARTÍNEZ, ANTONIO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La política exterior de la unión europea hacia el Sahel. La crisis de Malí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Relaciones internacionales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2018-19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11.30 a 12.30 </w:t>
            </w:r>
          </w:p>
        </w:tc>
      </w:tr>
      <w:tr w:rsidR="000F2679" w:rsidRPr="00745F63" w:rsidTr="00D12AF7">
        <w:tc>
          <w:tcPr>
            <w:tcW w:w="2268" w:type="dxa"/>
            <w:vAlign w:val="center"/>
          </w:tcPr>
          <w:p w:rsidR="000F2679" w:rsidRPr="00745F63" w:rsidRDefault="000F2679" w:rsidP="00D12AF7">
            <w:pPr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Rangel O`Shea Isidro</w:t>
            </w:r>
          </w:p>
        </w:tc>
        <w:tc>
          <w:tcPr>
            <w:tcW w:w="7655" w:type="dxa"/>
            <w:vAlign w:val="center"/>
          </w:tcPr>
          <w:p w:rsidR="000F2679" w:rsidRPr="00745F63" w:rsidRDefault="000F2679" w:rsidP="00D12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000000"/>
                <w:sz w:val="22"/>
                <w:szCs w:val="22"/>
              </w:rPr>
              <w:t>Sistema de Partidos en México a partir de la victoria de la izquierda</w:t>
            </w:r>
          </w:p>
        </w:tc>
        <w:tc>
          <w:tcPr>
            <w:tcW w:w="3118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Teoría política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sz w:val="22"/>
                <w:szCs w:val="22"/>
              </w:rPr>
              <w:t>2018-19</w:t>
            </w:r>
          </w:p>
        </w:tc>
        <w:tc>
          <w:tcPr>
            <w:tcW w:w="1645" w:type="dxa"/>
          </w:tcPr>
          <w:p w:rsidR="000F2679" w:rsidRPr="00745F63" w:rsidRDefault="000F2679" w:rsidP="00D12AF7">
            <w:pPr>
              <w:rPr>
                <w:rFonts w:ascii="Arial" w:hAnsi="Arial" w:cs="Arial"/>
                <w:sz w:val="22"/>
                <w:szCs w:val="22"/>
              </w:rPr>
            </w:pPr>
            <w:r w:rsidRPr="00745F6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11.30 a 12.30 </w:t>
            </w:r>
          </w:p>
        </w:tc>
      </w:tr>
    </w:tbl>
    <w:p w:rsidR="005A4C88" w:rsidRDefault="005A4C88">
      <w:pPr>
        <w:rPr>
          <w:rFonts w:ascii="Arial" w:hAnsi="Arial" w:cs="Arial"/>
          <w:b/>
        </w:rPr>
      </w:pPr>
    </w:p>
    <w:sectPr w:rsidR="005A4C88" w:rsidSect="00106A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E2" w:rsidRDefault="008822E2" w:rsidP="00E11604">
      <w:r>
        <w:separator/>
      </w:r>
    </w:p>
  </w:endnote>
  <w:endnote w:type="continuationSeparator" w:id="0">
    <w:p w:rsidR="008822E2" w:rsidRDefault="008822E2" w:rsidP="00E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E2" w:rsidRDefault="008822E2" w:rsidP="00E11604">
      <w:r>
        <w:separator/>
      </w:r>
    </w:p>
  </w:footnote>
  <w:footnote w:type="continuationSeparator" w:id="0">
    <w:p w:rsidR="008822E2" w:rsidRDefault="008822E2" w:rsidP="00E1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D"/>
    <w:rsid w:val="00017D66"/>
    <w:rsid w:val="00092A0E"/>
    <w:rsid w:val="000F2679"/>
    <w:rsid w:val="00106A0D"/>
    <w:rsid w:val="00194D1B"/>
    <w:rsid w:val="001E6DF2"/>
    <w:rsid w:val="0022379E"/>
    <w:rsid w:val="00231FCC"/>
    <w:rsid w:val="002F1BE5"/>
    <w:rsid w:val="003300FC"/>
    <w:rsid w:val="003A556B"/>
    <w:rsid w:val="003F042D"/>
    <w:rsid w:val="00412352"/>
    <w:rsid w:val="004B479D"/>
    <w:rsid w:val="005114A3"/>
    <w:rsid w:val="00535F52"/>
    <w:rsid w:val="00547AC2"/>
    <w:rsid w:val="00592DCC"/>
    <w:rsid w:val="005A4C88"/>
    <w:rsid w:val="005E2B6F"/>
    <w:rsid w:val="00635D1F"/>
    <w:rsid w:val="006B7169"/>
    <w:rsid w:val="006D7C28"/>
    <w:rsid w:val="006F0975"/>
    <w:rsid w:val="007C5066"/>
    <w:rsid w:val="00802A7F"/>
    <w:rsid w:val="008749C3"/>
    <w:rsid w:val="008822E2"/>
    <w:rsid w:val="0089103C"/>
    <w:rsid w:val="009B1C2A"/>
    <w:rsid w:val="009E3751"/>
    <w:rsid w:val="00AA5F15"/>
    <w:rsid w:val="00B34504"/>
    <w:rsid w:val="00C44859"/>
    <w:rsid w:val="00D16F24"/>
    <w:rsid w:val="00D24E2F"/>
    <w:rsid w:val="00E11604"/>
    <w:rsid w:val="00E8368A"/>
    <w:rsid w:val="00E95831"/>
    <w:rsid w:val="00F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ABAF-B519-427B-9B58-A183229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116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1604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1160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A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0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maria.ruiz@cps.ucm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 Inc.</cp:lastModifiedBy>
  <cp:revision>7</cp:revision>
  <dcterms:created xsi:type="dcterms:W3CDTF">2019-10-23T08:19:00Z</dcterms:created>
  <dcterms:modified xsi:type="dcterms:W3CDTF">2019-10-23T08:25:00Z</dcterms:modified>
</cp:coreProperties>
</file>